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034" w:rsidRDefault="00CB2034" w:rsidP="00CB2034">
      <w:pPr>
        <w:spacing w:line="360" w:lineRule="auto"/>
        <w:ind w:left="360" w:right="-856"/>
        <w:jc w:val="center"/>
      </w:pPr>
      <w:r>
        <w:t>UNIVERSIDAD DE LAS TUNAS</w:t>
      </w:r>
    </w:p>
    <w:p w:rsidR="00CB2034" w:rsidRDefault="00CB2034" w:rsidP="00CB2034">
      <w:pPr>
        <w:spacing w:line="360" w:lineRule="auto"/>
        <w:ind w:left="360" w:right="-856"/>
        <w:jc w:val="center"/>
      </w:pPr>
      <w:r>
        <w:t>FACULTAD DE CIENCIAS DE LA EDUCACIÓN MEDIA</w:t>
      </w:r>
    </w:p>
    <w:p w:rsidR="00CB2034" w:rsidRDefault="00CB2034" w:rsidP="00CB2034">
      <w:pPr>
        <w:spacing w:line="360" w:lineRule="auto"/>
        <w:ind w:left="360" w:right="-856"/>
        <w:jc w:val="center"/>
      </w:pPr>
      <w:r>
        <w:t>DEPARTAMENTO DE MARXISMO-LENINISMO E HISTORIA</w:t>
      </w:r>
    </w:p>
    <w:p w:rsidR="00CB2034" w:rsidRDefault="00CB2034" w:rsidP="00CB2034">
      <w:pPr>
        <w:spacing w:line="360" w:lineRule="auto"/>
        <w:ind w:left="360" w:right="-856"/>
        <w:jc w:val="both"/>
      </w:pPr>
    </w:p>
    <w:p w:rsidR="00CB2034" w:rsidRDefault="00CB2034" w:rsidP="00CB2034">
      <w:pPr>
        <w:spacing w:line="360" w:lineRule="auto"/>
        <w:ind w:left="360" w:right="-856"/>
        <w:jc w:val="both"/>
      </w:pPr>
    </w:p>
    <w:p w:rsidR="00CB2034" w:rsidRDefault="00CB2034" w:rsidP="00CB2034">
      <w:pPr>
        <w:spacing w:line="360" w:lineRule="auto"/>
        <w:ind w:left="360" w:right="-856"/>
        <w:jc w:val="both"/>
      </w:pPr>
    </w:p>
    <w:p w:rsidR="00CB2034" w:rsidRDefault="00CB2034" w:rsidP="00CB2034">
      <w:pPr>
        <w:spacing w:line="360" w:lineRule="auto"/>
        <w:ind w:left="360" w:right="-856"/>
        <w:jc w:val="both"/>
      </w:pPr>
    </w:p>
    <w:p w:rsidR="00CB2034" w:rsidRDefault="00CB2034" w:rsidP="00CB2034">
      <w:pPr>
        <w:spacing w:line="360" w:lineRule="auto"/>
        <w:ind w:left="360" w:right="-856"/>
        <w:jc w:val="both"/>
      </w:pPr>
    </w:p>
    <w:p w:rsidR="00CB2034" w:rsidRPr="00C714A9" w:rsidRDefault="007E353C" w:rsidP="00CB2034">
      <w:pPr>
        <w:spacing w:line="360" w:lineRule="auto"/>
        <w:ind w:left="360" w:right="-856"/>
        <w:jc w:val="both"/>
        <w:rPr>
          <w:sz w:val="48"/>
          <w:szCs w:val="48"/>
        </w:rPr>
      </w:pPr>
      <w:r>
        <w:rPr>
          <w:sz w:val="48"/>
          <w:szCs w:val="48"/>
        </w:rPr>
        <w:t>La investigación de unidades temporales y espaciales</w:t>
      </w:r>
    </w:p>
    <w:p w:rsidR="00CB2034" w:rsidRDefault="00CB2034" w:rsidP="00CB2034">
      <w:pPr>
        <w:spacing w:line="360" w:lineRule="auto"/>
        <w:ind w:left="360" w:right="-856"/>
        <w:jc w:val="both"/>
      </w:pPr>
    </w:p>
    <w:p w:rsidR="00CB2034" w:rsidRDefault="00CB2034" w:rsidP="00CB2034">
      <w:pPr>
        <w:spacing w:line="360" w:lineRule="auto"/>
        <w:ind w:left="360" w:right="-856"/>
        <w:jc w:val="both"/>
      </w:pPr>
    </w:p>
    <w:p w:rsidR="00CB2034" w:rsidRDefault="00CB2034" w:rsidP="00CB2034">
      <w:pPr>
        <w:spacing w:line="360" w:lineRule="auto"/>
        <w:ind w:left="360" w:right="-856"/>
        <w:jc w:val="both"/>
      </w:pPr>
    </w:p>
    <w:p w:rsidR="00CB2034" w:rsidRDefault="00CB2034" w:rsidP="00CB2034">
      <w:pPr>
        <w:spacing w:line="360" w:lineRule="auto"/>
        <w:ind w:left="360" w:right="-856"/>
        <w:jc w:val="both"/>
      </w:pPr>
    </w:p>
    <w:p w:rsidR="00CB2034" w:rsidRDefault="00CB2034" w:rsidP="00CB2034">
      <w:pPr>
        <w:spacing w:line="360" w:lineRule="auto"/>
        <w:ind w:left="360" w:right="-856"/>
        <w:jc w:val="both"/>
      </w:pPr>
    </w:p>
    <w:p w:rsidR="00CB2034" w:rsidRPr="00F92567" w:rsidRDefault="00CB2034" w:rsidP="00CB2034">
      <w:pPr>
        <w:spacing w:line="360" w:lineRule="auto"/>
        <w:ind w:left="360" w:right="-856"/>
        <w:jc w:val="both"/>
        <w:rPr>
          <w:sz w:val="32"/>
          <w:szCs w:val="32"/>
        </w:rPr>
      </w:pPr>
      <w:r w:rsidRPr="00F92567">
        <w:rPr>
          <w:sz w:val="32"/>
          <w:szCs w:val="32"/>
        </w:rPr>
        <w:t>Dr. C. Gustavo Josué López Ramírez, Profesor Auxiliar</w:t>
      </w:r>
    </w:p>
    <w:p w:rsidR="00CB2034" w:rsidRDefault="00CB2034" w:rsidP="00CB2034">
      <w:pPr>
        <w:spacing w:line="360" w:lineRule="auto"/>
        <w:ind w:left="360" w:right="-856"/>
        <w:jc w:val="both"/>
      </w:pPr>
    </w:p>
    <w:p w:rsidR="00CB2034" w:rsidRDefault="00CB2034" w:rsidP="00CB2034">
      <w:pPr>
        <w:spacing w:line="360" w:lineRule="auto"/>
        <w:ind w:left="360" w:right="-856"/>
        <w:jc w:val="both"/>
      </w:pPr>
    </w:p>
    <w:p w:rsidR="00CB2034" w:rsidRDefault="00CB2034" w:rsidP="00CB2034">
      <w:pPr>
        <w:spacing w:line="360" w:lineRule="auto"/>
        <w:ind w:left="360" w:right="-856"/>
        <w:jc w:val="both"/>
      </w:pPr>
    </w:p>
    <w:p w:rsidR="00CB2034" w:rsidRDefault="00CB2034" w:rsidP="00CB2034">
      <w:pPr>
        <w:spacing w:line="360" w:lineRule="auto"/>
        <w:ind w:right="-856"/>
        <w:jc w:val="both"/>
      </w:pPr>
    </w:p>
    <w:p w:rsidR="00CB2034" w:rsidRDefault="00CB2034" w:rsidP="00CB2034">
      <w:pPr>
        <w:spacing w:line="360" w:lineRule="auto"/>
        <w:ind w:left="360" w:right="-856"/>
        <w:jc w:val="both"/>
      </w:pPr>
    </w:p>
    <w:p w:rsidR="00CB2034" w:rsidRDefault="00CB2034" w:rsidP="00CB2034">
      <w:pPr>
        <w:spacing w:line="360" w:lineRule="auto"/>
        <w:ind w:left="360" w:right="-856"/>
        <w:jc w:val="center"/>
      </w:pPr>
      <w:r>
        <w:t>2015</w:t>
      </w:r>
    </w:p>
    <w:p w:rsidR="00CB2034" w:rsidRDefault="00CB2034" w:rsidP="00CB2034">
      <w:pPr>
        <w:spacing w:line="480" w:lineRule="auto"/>
        <w:jc w:val="both"/>
        <w:rPr>
          <w:rFonts w:ascii="Arial Narrow" w:hAnsi="Arial Narrow" w:cs="Arial Narrow"/>
        </w:rPr>
      </w:pPr>
    </w:p>
    <w:p w:rsidR="00CB2034" w:rsidRPr="00101214" w:rsidRDefault="00CB2034" w:rsidP="00CB2034">
      <w:pPr>
        <w:spacing w:line="480" w:lineRule="auto"/>
        <w:jc w:val="both"/>
        <w:rPr>
          <w:rFonts w:ascii="Arial Narrow" w:hAnsi="Arial Narrow" w:cs="Arial Narrow"/>
          <w:bCs/>
        </w:rPr>
      </w:pPr>
      <w:r w:rsidRPr="00101214">
        <w:rPr>
          <w:rFonts w:ascii="Arial Narrow" w:hAnsi="Arial Narrow" w:cs="Arial Narrow"/>
        </w:rPr>
        <w:t>Elementos a investigar de las unidades temporales y espaciales.</w:t>
      </w:r>
    </w:p>
    <w:p w:rsidR="00CB2034" w:rsidRPr="00101214" w:rsidRDefault="00CB2034" w:rsidP="00CB2034">
      <w:pPr>
        <w:pStyle w:val="Textoindependiente"/>
        <w:spacing w:after="0" w:line="480" w:lineRule="auto"/>
        <w:ind w:left="850" w:hanging="850"/>
        <w:jc w:val="both"/>
        <w:rPr>
          <w:rFonts w:ascii="Arial Narrow" w:hAnsi="Arial Narrow" w:cs="Arial Narrow"/>
        </w:rPr>
      </w:pPr>
      <w:r w:rsidRPr="00101214">
        <w:rPr>
          <w:rFonts w:ascii="Arial Narrow" w:hAnsi="Arial Narrow" w:cs="Arial Narrow"/>
          <w:bCs/>
        </w:rPr>
        <w:t xml:space="preserve">Objetivo: valorar los cambios, evolución y permanencias de unidades temporales y espaciales para la comprensión de los diferentes ritmos históricos dentro de un mismo territorio. </w:t>
      </w:r>
    </w:p>
    <w:tbl>
      <w:tblPr>
        <w:tblW w:w="0" w:type="auto"/>
        <w:tblInd w:w="-30" w:type="dxa"/>
        <w:tblLayout w:type="fixed"/>
        <w:tblLook w:val="0000"/>
      </w:tblPr>
      <w:tblGrid>
        <w:gridCol w:w="1471"/>
        <w:gridCol w:w="1103"/>
        <w:gridCol w:w="810"/>
        <w:gridCol w:w="862"/>
        <w:gridCol w:w="1103"/>
        <w:gridCol w:w="812"/>
        <w:gridCol w:w="862"/>
        <w:gridCol w:w="1215"/>
        <w:gridCol w:w="1061"/>
      </w:tblGrid>
      <w:tr w:rsidR="00CB2034" w:rsidRPr="00101214" w:rsidTr="009A7A5C">
        <w:trPr>
          <w:trHeight w:val="834"/>
        </w:trPr>
        <w:tc>
          <w:tcPr>
            <w:tcW w:w="1471"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pacing w:line="480" w:lineRule="auto"/>
              <w:jc w:val="center"/>
              <w:rPr>
                <w:rFonts w:ascii="Arial Narrow" w:hAnsi="Arial Narrow" w:cs="Arial Narrow"/>
              </w:rPr>
            </w:pPr>
            <w:r w:rsidRPr="00101214">
              <w:rPr>
                <w:rFonts w:ascii="Arial Narrow" w:hAnsi="Arial Narrow" w:cs="Arial Narrow"/>
              </w:rPr>
              <w:t>Unidad</w:t>
            </w:r>
          </w:p>
        </w:tc>
        <w:tc>
          <w:tcPr>
            <w:tcW w:w="2775" w:type="dxa"/>
            <w:gridSpan w:val="3"/>
            <w:tcBorders>
              <w:top w:val="single" w:sz="4" w:space="0" w:color="000000"/>
              <w:left w:val="single" w:sz="4" w:space="0" w:color="000000"/>
              <w:bottom w:val="single" w:sz="4" w:space="0" w:color="000000"/>
            </w:tcBorders>
            <w:shd w:val="clear" w:color="auto" w:fill="auto"/>
          </w:tcPr>
          <w:p w:rsidR="00CB2034" w:rsidRPr="00101214" w:rsidRDefault="00CB2034" w:rsidP="009A7A5C">
            <w:pPr>
              <w:spacing w:line="480" w:lineRule="auto"/>
              <w:jc w:val="center"/>
              <w:rPr>
                <w:rFonts w:ascii="Arial Narrow" w:hAnsi="Arial Narrow" w:cs="Arial Narrow"/>
              </w:rPr>
            </w:pPr>
            <w:r w:rsidRPr="00101214">
              <w:rPr>
                <w:rFonts w:ascii="Arial Narrow" w:hAnsi="Arial Narrow" w:cs="Arial Narrow"/>
              </w:rPr>
              <w:t>Región y siglo donde surgen</w:t>
            </w:r>
          </w:p>
        </w:tc>
        <w:tc>
          <w:tcPr>
            <w:tcW w:w="2777" w:type="dxa"/>
            <w:gridSpan w:val="3"/>
            <w:tcBorders>
              <w:top w:val="single" w:sz="4" w:space="0" w:color="000000"/>
              <w:left w:val="single" w:sz="4" w:space="0" w:color="000000"/>
              <w:bottom w:val="single" w:sz="4" w:space="0" w:color="000000"/>
            </w:tcBorders>
            <w:shd w:val="clear" w:color="auto" w:fill="auto"/>
          </w:tcPr>
          <w:p w:rsidR="00CB2034" w:rsidRPr="00101214" w:rsidRDefault="00CB2034" w:rsidP="009A7A5C">
            <w:pPr>
              <w:jc w:val="center"/>
              <w:rPr>
                <w:rFonts w:ascii="Arial Narrow" w:hAnsi="Arial Narrow" w:cs="Arial Narrow"/>
              </w:rPr>
            </w:pPr>
            <w:r w:rsidRPr="00101214">
              <w:rPr>
                <w:rFonts w:ascii="Arial Narrow" w:hAnsi="Arial Narrow" w:cs="Arial Narrow"/>
              </w:rPr>
              <w:t>Región y siglo donde se desarrollan</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tcPr>
          <w:p w:rsidR="00CB2034" w:rsidRPr="00101214" w:rsidRDefault="00CB2034" w:rsidP="009A7A5C">
            <w:pPr>
              <w:spacing w:line="480" w:lineRule="auto"/>
              <w:jc w:val="center"/>
              <w:rPr>
                <w:rFonts w:ascii="Arial Narrow" w:hAnsi="Arial Narrow" w:cs="Arial Narrow"/>
              </w:rPr>
            </w:pPr>
            <w:r w:rsidRPr="00101214">
              <w:rPr>
                <w:rFonts w:ascii="Arial Narrow" w:hAnsi="Arial Narrow" w:cs="Arial Narrow"/>
              </w:rPr>
              <w:t>Evolución</w:t>
            </w:r>
          </w:p>
        </w:tc>
      </w:tr>
      <w:tr w:rsidR="00CB2034" w:rsidRPr="00101214" w:rsidTr="009A7A5C">
        <w:trPr>
          <w:trHeight w:val="894"/>
        </w:trPr>
        <w:tc>
          <w:tcPr>
            <w:tcW w:w="1471"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1103"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pacing w:line="480" w:lineRule="auto"/>
              <w:jc w:val="both"/>
              <w:rPr>
                <w:rFonts w:ascii="Arial Narrow" w:hAnsi="Arial Narrow" w:cs="Arial Narrow"/>
              </w:rPr>
            </w:pPr>
            <w:r w:rsidRPr="00101214">
              <w:rPr>
                <w:rFonts w:ascii="Arial Narrow" w:hAnsi="Arial Narrow" w:cs="Arial Narrow"/>
              </w:rPr>
              <w:t xml:space="preserve">Occidente           </w:t>
            </w:r>
          </w:p>
        </w:tc>
        <w:tc>
          <w:tcPr>
            <w:tcW w:w="810"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pacing w:line="480" w:lineRule="auto"/>
              <w:jc w:val="both"/>
              <w:rPr>
                <w:rFonts w:ascii="Arial Narrow" w:hAnsi="Arial Narrow" w:cs="Arial Narrow"/>
              </w:rPr>
            </w:pPr>
            <w:r w:rsidRPr="00101214">
              <w:rPr>
                <w:rFonts w:ascii="Arial Narrow" w:hAnsi="Arial Narrow" w:cs="Arial Narrow"/>
              </w:rPr>
              <w:t>Centro</w:t>
            </w:r>
          </w:p>
        </w:tc>
        <w:tc>
          <w:tcPr>
            <w:tcW w:w="862"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pacing w:line="480" w:lineRule="auto"/>
              <w:jc w:val="both"/>
              <w:rPr>
                <w:rFonts w:ascii="Arial Narrow" w:hAnsi="Arial Narrow" w:cs="Arial Narrow"/>
              </w:rPr>
            </w:pPr>
            <w:r w:rsidRPr="00101214">
              <w:rPr>
                <w:rFonts w:ascii="Arial Narrow" w:hAnsi="Arial Narrow" w:cs="Arial Narrow"/>
              </w:rPr>
              <w:t>Oriente</w:t>
            </w:r>
          </w:p>
        </w:tc>
        <w:tc>
          <w:tcPr>
            <w:tcW w:w="1103"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pacing w:line="480" w:lineRule="auto"/>
              <w:jc w:val="both"/>
              <w:rPr>
                <w:rFonts w:ascii="Arial Narrow" w:hAnsi="Arial Narrow" w:cs="Arial Narrow"/>
              </w:rPr>
            </w:pPr>
            <w:r w:rsidRPr="00101214">
              <w:rPr>
                <w:rFonts w:ascii="Arial Narrow" w:hAnsi="Arial Narrow" w:cs="Arial Narrow"/>
              </w:rPr>
              <w:t>Occidente</w:t>
            </w:r>
          </w:p>
        </w:tc>
        <w:tc>
          <w:tcPr>
            <w:tcW w:w="812"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pacing w:line="480" w:lineRule="auto"/>
              <w:jc w:val="both"/>
              <w:rPr>
                <w:rFonts w:ascii="Arial Narrow" w:hAnsi="Arial Narrow" w:cs="Arial Narrow"/>
              </w:rPr>
            </w:pPr>
            <w:r w:rsidRPr="00101214">
              <w:rPr>
                <w:rFonts w:ascii="Arial Narrow" w:hAnsi="Arial Narrow" w:cs="Arial Narrow"/>
              </w:rPr>
              <w:t>Centro</w:t>
            </w:r>
          </w:p>
        </w:tc>
        <w:tc>
          <w:tcPr>
            <w:tcW w:w="862"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pacing w:line="480" w:lineRule="auto"/>
              <w:jc w:val="both"/>
              <w:rPr>
                <w:rFonts w:ascii="Arial Narrow" w:hAnsi="Arial Narrow" w:cs="Arial Narrow"/>
              </w:rPr>
            </w:pPr>
            <w:r w:rsidRPr="00101214">
              <w:rPr>
                <w:rFonts w:ascii="Arial Narrow" w:hAnsi="Arial Narrow" w:cs="Arial Narrow"/>
              </w:rPr>
              <w:t>Oriente</w:t>
            </w:r>
          </w:p>
        </w:tc>
        <w:tc>
          <w:tcPr>
            <w:tcW w:w="1215"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jc w:val="both"/>
              <w:rPr>
                <w:rFonts w:ascii="Arial Narrow" w:hAnsi="Arial Narrow" w:cs="Arial Narrow"/>
              </w:rPr>
            </w:pPr>
            <w:r w:rsidRPr="00101214">
              <w:rPr>
                <w:rFonts w:ascii="Arial Narrow" w:hAnsi="Arial Narrow" w:cs="Arial Narrow"/>
              </w:rPr>
              <w:t>Unidad que le antecede</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CB2034" w:rsidRPr="00101214" w:rsidRDefault="00CB2034" w:rsidP="009A7A5C">
            <w:pPr>
              <w:jc w:val="both"/>
              <w:rPr>
                <w:rFonts w:ascii="Arial Narrow" w:hAnsi="Arial Narrow" w:cs="Arial Narrow"/>
              </w:rPr>
            </w:pPr>
            <w:r>
              <w:rPr>
                <w:rFonts w:ascii="Arial Narrow" w:hAnsi="Arial Narrow" w:cs="Arial Narrow"/>
              </w:rPr>
              <w:t>Unidad que le sustituye</w:t>
            </w:r>
          </w:p>
        </w:tc>
      </w:tr>
      <w:tr w:rsidR="00CB2034" w:rsidRPr="00101214" w:rsidTr="009A7A5C">
        <w:trPr>
          <w:trHeight w:val="585"/>
        </w:trPr>
        <w:tc>
          <w:tcPr>
            <w:tcW w:w="1471"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pacing w:line="480" w:lineRule="auto"/>
              <w:jc w:val="both"/>
              <w:rPr>
                <w:rFonts w:ascii="Arial Narrow" w:hAnsi="Arial Narrow" w:cs="Arial Narrow"/>
              </w:rPr>
            </w:pPr>
            <w:r w:rsidRPr="00101214">
              <w:rPr>
                <w:rFonts w:ascii="Arial Narrow" w:hAnsi="Arial Narrow" w:cs="Arial Narrow"/>
              </w:rPr>
              <w:t>Estancias</w:t>
            </w:r>
          </w:p>
        </w:tc>
        <w:tc>
          <w:tcPr>
            <w:tcW w:w="1103"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810"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862"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1103"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812"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862"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1215"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r>
      <w:tr w:rsidR="00CB2034" w:rsidRPr="00101214" w:rsidTr="009A7A5C">
        <w:trPr>
          <w:trHeight w:val="705"/>
        </w:trPr>
        <w:tc>
          <w:tcPr>
            <w:tcW w:w="1471"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pacing w:line="480" w:lineRule="auto"/>
              <w:jc w:val="both"/>
              <w:rPr>
                <w:rFonts w:ascii="Arial Narrow" w:hAnsi="Arial Narrow" w:cs="Arial Narrow"/>
              </w:rPr>
            </w:pPr>
            <w:r w:rsidRPr="00101214">
              <w:rPr>
                <w:rFonts w:ascii="Arial Narrow" w:hAnsi="Arial Narrow" w:cs="Arial Narrow"/>
              </w:rPr>
              <w:t>Puertos</w:t>
            </w:r>
          </w:p>
        </w:tc>
        <w:tc>
          <w:tcPr>
            <w:tcW w:w="1103"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810"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862"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1103"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812"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862"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1215"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r>
      <w:tr w:rsidR="00CB2034" w:rsidRPr="00101214" w:rsidTr="009A7A5C">
        <w:trPr>
          <w:trHeight w:val="525"/>
        </w:trPr>
        <w:tc>
          <w:tcPr>
            <w:tcW w:w="1471"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pacing w:line="480" w:lineRule="auto"/>
              <w:jc w:val="both"/>
              <w:rPr>
                <w:rFonts w:ascii="Arial Narrow" w:hAnsi="Arial Narrow" w:cs="Arial Narrow"/>
              </w:rPr>
            </w:pPr>
            <w:r w:rsidRPr="00101214">
              <w:rPr>
                <w:rFonts w:ascii="Arial Narrow" w:hAnsi="Arial Narrow" w:cs="Arial Narrow"/>
              </w:rPr>
              <w:t>Pueblos</w:t>
            </w:r>
          </w:p>
          <w:p w:rsidR="00CB2034" w:rsidRPr="00101214" w:rsidRDefault="00CB2034" w:rsidP="009A7A5C">
            <w:pPr>
              <w:spacing w:line="480" w:lineRule="auto"/>
              <w:jc w:val="both"/>
              <w:rPr>
                <w:rFonts w:ascii="Arial Narrow" w:hAnsi="Arial Narrow" w:cs="Arial Narrow"/>
              </w:rPr>
            </w:pPr>
            <w:r w:rsidRPr="00101214">
              <w:rPr>
                <w:rFonts w:ascii="Arial Narrow" w:hAnsi="Arial Narrow" w:cs="Arial Narrow"/>
              </w:rPr>
              <w:t>y ciudades</w:t>
            </w:r>
          </w:p>
        </w:tc>
        <w:tc>
          <w:tcPr>
            <w:tcW w:w="1103"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810"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862"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1103"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812"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862"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1215"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r>
      <w:tr w:rsidR="00CB2034" w:rsidRPr="00101214" w:rsidTr="009A7A5C">
        <w:trPr>
          <w:trHeight w:val="315"/>
        </w:trPr>
        <w:tc>
          <w:tcPr>
            <w:tcW w:w="1471"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pacing w:line="480" w:lineRule="auto"/>
              <w:jc w:val="both"/>
              <w:rPr>
                <w:rFonts w:ascii="Arial Narrow" w:hAnsi="Arial Narrow" w:cs="Arial Narrow"/>
              </w:rPr>
            </w:pPr>
            <w:r w:rsidRPr="00101214">
              <w:rPr>
                <w:rFonts w:ascii="Arial Narrow" w:hAnsi="Arial Narrow" w:cs="Arial Narrow"/>
              </w:rPr>
              <w:t>Centrales</w:t>
            </w:r>
          </w:p>
          <w:p w:rsidR="00CB2034" w:rsidRPr="00101214" w:rsidRDefault="00CB2034" w:rsidP="009A7A5C">
            <w:pPr>
              <w:spacing w:line="480" w:lineRule="auto"/>
              <w:jc w:val="both"/>
              <w:rPr>
                <w:rFonts w:ascii="Arial Narrow" w:hAnsi="Arial Narrow" w:cs="Arial Narrow"/>
              </w:rPr>
            </w:pPr>
            <w:r w:rsidRPr="00101214">
              <w:rPr>
                <w:rFonts w:ascii="Arial Narrow" w:hAnsi="Arial Narrow" w:cs="Arial Narrow"/>
              </w:rPr>
              <w:t>azucareros</w:t>
            </w:r>
          </w:p>
        </w:tc>
        <w:tc>
          <w:tcPr>
            <w:tcW w:w="1103"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810"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862"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1103"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812"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862"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1215"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r>
      <w:tr w:rsidR="00CB2034" w:rsidRPr="00101214" w:rsidTr="009A7A5C">
        <w:trPr>
          <w:trHeight w:val="225"/>
        </w:trPr>
        <w:tc>
          <w:tcPr>
            <w:tcW w:w="1471"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pacing w:line="480" w:lineRule="auto"/>
              <w:jc w:val="both"/>
              <w:rPr>
                <w:rFonts w:ascii="Arial Narrow" w:hAnsi="Arial Narrow" w:cs="Arial Narrow"/>
              </w:rPr>
            </w:pPr>
            <w:r w:rsidRPr="00101214">
              <w:rPr>
                <w:rFonts w:ascii="Arial Narrow" w:hAnsi="Arial Narrow" w:cs="Arial Narrow"/>
              </w:rPr>
              <w:t>Cooperativas</w:t>
            </w:r>
          </w:p>
          <w:p w:rsidR="00CB2034" w:rsidRPr="00101214" w:rsidRDefault="00CB2034" w:rsidP="009A7A5C">
            <w:pPr>
              <w:spacing w:line="480" w:lineRule="auto"/>
              <w:jc w:val="both"/>
              <w:rPr>
                <w:rFonts w:ascii="Arial Narrow" w:hAnsi="Arial Narrow" w:cs="Arial Narrow"/>
              </w:rPr>
            </w:pPr>
            <w:r w:rsidRPr="00101214">
              <w:rPr>
                <w:rFonts w:ascii="Arial Narrow" w:hAnsi="Arial Narrow" w:cs="Arial Narrow"/>
              </w:rPr>
              <w:t>de</w:t>
            </w:r>
          </w:p>
          <w:p w:rsidR="00CB2034" w:rsidRPr="00101214" w:rsidRDefault="00CB2034" w:rsidP="009A7A5C">
            <w:pPr>
              <w:spacing w:line="480" w:lineRule="auto"/>
              <w:jc w:val="both"/>
              <w:rPr>
                <w:rFonts w:ascii="Arial Narrow" w:hAnsi="Arial Narrow" w:cs="Arial Narrow"/>
              </w:rPr>
            </w:pPr>
            <w:r w:rsidRPr="00101214">
              <w:rPr>
                <w:rFonts w:ascii="Arial Narrow" w:hAnsi="Arial Narrow" w:cs="Arial Narrow"/>
              </w:rPr>
              <w:t>producción</w:t>
            </w:r>
          </w:p>
          <w:p w:rsidR="00CB2034" w:rsidRPr="00101214" w:rsidRDefault="00CB2034" w:rsidP="009A7A5C">
            <w:pPr>
              <w:spacing w:line="480" w:lineRule="auto"/>
              <w:jc w:val="both"/>
              <w:rPr>
                <w:rFonts w:ascii="Arial Narrow" w:hAnsi="Arial Narrow" w:cs="Arial Narrow"/>
              </w:rPr>
            </w:pPr>
            <w:r w:rsidRPr="00101214">
              <w:rPr>
                <w:rFonts w:ascii="Arial Narrow" w:hAnsi="Arial Narrow" w:cs="Arial Narrow"/>
              </w:rPr>
              <w:t>agropecuaria</w:t>
            </w:r>
          </w:p>
        </w:tc>
        <w:tc>
          <w:tcPr>
            <w:tcW w:w="1103"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810"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862"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1103"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812"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862"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1215" w:type="dxa"/>
            <w:tcBorders>
              <w:top w:val="single" w:sz="4" w:space="0" w:color="000000"/>
              <w:left w:val="single" w:sz="4" w:space="0" w:color="000000"/>
              <w:bottom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CB2034" w:rsidRPr="00101214" w:rsidRDefault="00CB2034" w:rsidP="009A7A5C">
            <w:pPr>
              <w:snapToGrid w:val="0"/>
              <w:spacing w:line="480" w:lineRule="auto"/>
              <w:jc w:val="both"/>
              <w:rPr>
                <w:rFonts w:ascii="Arial Narrow" w:hAnsi="Arial Narrow" w:cs="Arial Narrow"/>
              </w:rPr>
            </w:pPr>
          </w:p>
        </w:tc>
      </w:tr>
    </w:tbl>
    <w:p w:rsidR="00CB2034" w:rsidRPr="00101214" w:rsidRDefault="00CB2034" w:rsidP="00CB2034">
      <w:pPr>
        <w:spacing w:line="480" w:lineRule="auto"/>
        <w:jc w:val="both"/>
        <w:rPr>
          <w:rFonts w:ascii="Arial Narrow" w:hAnsi="Arial Narrow"/>
        </w:rPr>
      </w:pPr>
    </w:p>
    <w:p w:rsidR="008321E4" w:rsidRDefault="008321E4" w:rsidP="008321E4">
      <w:pPr>
        <w:widowControl w:val="0"/>
        <w:autoSpaceDE w:val="0"/>
        <w:spacing w:line="480" w:lineRule="auto"/>
        <w:jc w:val="both"/>
        <w:rPr>
          <w:rFonts w:ascii="Arial Narrow" w:hAnsi="Arial Narrow" w:cs="Arial Narrow"/>
        </w:rPr>
      </w:pPr>
      <w:r w:rsidRPr="00101214">
        <w:rPr>
          <w:rFonts w:ascii="Arial Narrow" w:hAnsi="Arial Narrow" w:cs="Arial Narrow"/>
        </w:rPr>
        <w:t xml:space="preserve">En su evolución brindan claves para la comprensión de los contenidos históricos, en el caso particular de la Historia de Cuba, dentro </w:t>
      </w:r>
      <w:r>
        <w:rPr>
          <w:rFonts w:ascii="Arial Narrow" w:hAnsi="Arial Narrow" w:cs="Arial Narrow"/>
        </w:rPr>
        <w:t xml:space="preserve">de </w:t>
      </w:r>
      <w:r w:rsidRPr="00101214">
        <w:rPr>
          <w:rFonts w:ascii="Arial Narrow" w:hAnsi="Arial Narrow" w:cs="Arial Narrow"/>
        </w:rPr>
        <w:t xml:space="preserve">las principales unidades temporales y espaciales que connotan la etapa colonial se seleccionó el central azucarero en su evolución desde la condición de trapiche. </w:t>
      </w:r>
    </w:p>
    <w:p w:rsidR="008321E4" w:rsidRPr="00101214" w:rsidRDefault="004E6EF3" w:rsidP="008321E4">
      <w:pPr>
        <w:widowControl w:val="0"/>
        <w:autoSpaceDE w:val="0"/>
        <w:spacing w:line="480" w:lineRule="auto"/>
        <w:jc w:val="both"/>
        <w:rPr>
          <w:rFonts w:ascii="Arial Narrow" w:hAnsi="Arial Narrow" w:cs="Arial Narrow"/>
        </w:rPr>
      </w:pPr>
      <w:r>
        <w:rPr>
          <w:rFonts w:ascii="Arial Narrow" w:hAnsi="Arial Narrow" w:cs="Arial Narrow"/>
        </w:rPr>
        <w:lastRenderedPageBreak/>
        <w:t>E</w:t>
      </w:r>
      <w:r w:rsidR="008321E4" w:rsidRPr="00101214">
        <w:rPr>
          <w:rFonts w:ascii="Arial Narrow" w:hAnsi="Arial Narrow" w:cs="Arial Narrow"/>
        </w:rPr>
        <w:t xml:space="preserve">ncontrar el origen de vocablos que se utilizan en la actualidad, en algunos casos con una actualización y enriquecimiento peculiar y que tuvieron su origen en las manufacturas azucareras, dentro de los que se destacan, luego de una ardua revisión de fuentes históricas: </w:t>
      </w:r>
    </w:p>
    <w:p w:rsidR="008321E4" w:rsidRPr="00101214" w:rsidRDefault="008321E4" w:rsidP="008321E4">
      <w:pPr>
        <w:widowControl w:val="0"/>
        <w:numPr>
          <w:ilvl w:val="0"/>
          <w:numId w:val="1"/>
        </w:numPr>
        <w:tabs>
          <w:tab w:val="left" w:pos="287"/>
        </w:tabs>
        <w:suppressAutoHyphens/>
        <w:autoSpaceDE w:val="0"/>
        <w:spacing w:after="0" w:line="480" w:lineRule="auto"/>
        <w:ind w:left="284" w:hanging="284"/>
        <w:jc w:val="both"/>
        <w:rPr>
          <w:rFonts w:ascii="Arial Narrow" w:hAnsi="Arial Narrow" w:cs="Arial Narrow"/>
        </w:rPr>
      </w:pPr>
      <w:r w:rsidRPr="00101214">
        <w:rPr>
          <w:rFonts w:ascii="Arial Narrow" w:hAnsi="Arial Narrow" w:cs="Arial Narrow"/>
        </w:rPr>
        <w:t xml:space="preserve">Aguaje: Tercero y último barro que se aplicaba al azúcar en las hormas durante la operación de purga. Durante el siglo XIX la tendencia técnica fue aplicar solo dos barros, llamándole aguaje al segundo. Se le llamó así porque era un barro sumamente aguado, casi líquido. Formar aguaje, figurativo de dramatizar un hecho intrascendente. </w:t>
      </w:r>
    </w:p>
    <w:p w:rsidR="008321E4" w:rsidRPr="00101214" w:rsidRDefault="008321E4" w:rsidP="008321E4">
      <w:pPr>
        <w:widowControl w:val="0"/>
        <w:numPr>
          <w:ilvl w:val="0"/>
          <w:numId w:val="1"/>
        </w:numPr>
        <w:tabs>
          <w:tab w:val="left" w:pos="287"/>
        </w:tabs>
        <w:suppressAutoHyphens/>
        <w:autoSpaceDE w:val="0"/>
        <w:spacing w:after="0" w:line="480" w:lineRule="auto"/>
        <w:ind w:left="284" w:hanging="284"/>
        <w:jc w:val="both"/>
        <w:rPr>
          <w:rFonts w:ascii="Arial Narrow" w:hAnsi="Arial Narrow" w:cs="Arial Narrow"/>
        </w:rPr>
      </w:pPr>
      <w:r w:rsidRPr="00101214">
        <w:rPr>
          <w:rFonts w:ascii="Arial Narrow" w:hAnsi="Arial Narrow" w:cs="Arial Narrow"/>
        </w:rPr>
        <w:t xml:space="preserve">Batey: Área industrial del ingenio. Incluye las edificaciones de carácter productivo y social. </w:t>
      </w:r>
    </w:p>
    <w:p w:rsidR="008321E4" w:rsidRPr="00101214" w:rsidRDefault="008321E4" w:rsidP="008321E4">
      <w:pPr>
        <w:widowControl w:val="0"/>
        <w:numPr>
          <w:ilvl w:val="0"/>
          <w:numId w:val="1"/>
        </w:numPr>
        <w:tabs>
          <w:tab w:val="left" w:pos="287"/>
        </w:tabs>
        <w:suppressAutoHyphens/>
        <w:autoSpaceDE w:val="0"/>
        <w:spacing w:after="0" w:line="480" w:lineRule="auto"/>
        <w:ind w:left="284" w:hanging="284"/>
        <w:jc w:val="both"/>
        <w:rPr>
          <w:rFonts w:ascii="Arial Narrow" w:hAnsi="Arial Narrow" w:cs="Arial Narrow"/>
        </w:rPr>
      </w:pPr>
      <w:r w:rsidRPr="00101214">
        <w:rPr>
          <w:rFonts w:ascii="Arial Narrow" w:hAnsi="Arial Narrow" w:cs="Arial Narrow"/>
        </w:rPr>
        <w:t>Colono: A partir de las dos últimas décadas del siglo XIX, el dueño de fincas dedicadas exclusivamente al cultivo de la caña de azúcar, para venderla al central.</w:t>
      </w:r>
      <w:r>
        <w:rPr>
          <w:rFonts w:ascii="Arial Narrow" w:hAnsi="Arial Narrow" w:cs="Arial Narrow"/>
        </w:rPr>
        <w:t xml:space="preserve"> Es expresiva</w:t>
      </w:r>
      <w:r w:rsidRPr="00C27E94">
        <w:rPr>
          <w:rFonts w:ascii="Arial Narrow" w:hAnsi="Arial Narrow" w:cs="Arial Narrow"/>
        </w:rPr>
        <w:t xml:space="preserve"> </w:t>
      </w:r>
      <w:r>
        <w:rPr>
          <w:rFonts w:ascii="Arial Narrow" w:hAnsi="Arial Narrow" w:cs="Arial Narrow"/>
        </w:rPr>
        <w:t xml:space="preserve">de su poderío la afirmación, colono no pica caña.  </w:t>
      </w:r>
    </w:p>
    <w:p w:rsidR="008321E4" w:rsidRPr="00101214" w:rsidRDefault="008321E4" w:rsidP="008321E4">
      <w:pPr>
        <w:widowControl w:val="0"/>
        <w:numPr>
          <w:ilvl w:val="0"/>
          <w:numId w:val="1"/>
        </w:numPr>
        <w:tabs>
          <w:tab w:val="left" w:pos="287"/>
        </w:tabs>
        <w:suppressAutoHyphens/>
        <w:autoSpaceDE w:val="0"/>
        <w:spacing w:after="0" w:line="480" w:lineRule="auto"/>
        <w:ind w:left="284" w:hanging="284"/>
        <w:jc w:val="both"/>
        <w:rPr>
          <w:rFonts w:ascii="Arial Narrow" w:hAnsi="Arial Narrow" w:cs="Arial Narrow"/>
        </w:rPr>
      </w:pPr>
      <w:r w:rsidRPr="00101214">
        <w:rPr>
          <w:rFonts w:ascii="Arial Narrow" w:hAnsi="Arial Narrow" w:cs="Arial Narrow"/>
        </w:rPr>
        <w:t xml:space="preserve">Mayoral: Hasta el primer tercio del siglo XIX, tenía un poder jurisdiccional casi ilimitado. Hacia mediados del XIX, el administrador, el mayordomo y el boyero realizaban funciones de control económico que limitaban grandemente las funciones del mayoral, mientras el maestro de azúcar y el maquinista emergen como técnicos de igual o superior categoría que el mayoral. El mayoral a finales de siglo queda reducido a la situación de responsable de las áreas cañeras y el trabajo de corte.  </w:t>
      </w:r>
    </w:p>
    <w:p w:rsidR="008321E4" w:rsidRPr="00101214" w:rsidRDefault="008321E4" w:rsidP="008321E4">
      <w:pPr>
        <w:widowControl w:val="0"/>
        <w:numPr>
          <w:ilvl w:val="0"/>
          <w:numId w:val="1"/>
        </w:numPr>
        <w:tabs>
          <w:tab w:val="left" w:pos="287"/>
        </w:tabs>
        <w:suppressAutoHyphens/>
        <w:autoSpaceDE w:val="0"/>
        <w:spacing w:after="0" w:line="480" w:lineRule="auto"/>
        <w:ind w:left="284" w:hanging="284"/>
        <w:jc w:val="both"/>
        <w:rPr>
          <w:rFonts w:ascii="Arial Narrow" w:hAnsi="Arial Narrow" w:cs="Arial Narrow"/>
        </w:rPr>
      </w:pPr>
      <w:r w:rsidRPr="00101214">
        <w:rPr>
          <w:rFonts w:ascii="Arial Narrow" w:hAnsi="Arial Narrow" w:cs="Arial Narrow"/>
        </w:rPr>
        <w:t>Tumbadero: Gran pila de leña amontonada en desorden en la cercanía del ingenio. A los esclavos se les obligaba, a la vuelta de la siembra en las tumbas, a recoger los p</w:t>
      </w:r>
      <w:r>
        <w:rPr>
          <w:rFonts w:ascii="Arial Narrow" w:hAnsi="Arial Narrow" w:cs="Arial Narrow"/>
        </w:rPr>
        <w:t xml:space="preserve">alos que encontraran y arrojarlos </w:t>
      </w:r>
      <w:r w:rsidRPr="00101214">
        <w:rPr>
          <w:rFonts w:ascii="Arial Narrow" w:hAnsi="Arial Narrow" w:cs="Arial Narrow"/>
        </w:rPr>
        <w:t>en el tumbadero. Como los tumbaderos fueron lugares propicios para ejecutar a escondidas los actos sexuales, los términos tumbadero y palo adquirieron su actual significado popular, pasando a nominar cualquier lugar donde fornicar y al acto sexual en sí</w:t>
      </w:r>
      <w:r>
        <w:rPr>
          <w:rFonts w:ascii="Arial Narrow" w:hAnsi="Arial Narrow" w:cs="Arial Narrow"/>
        </w:rPr>
        <w:t>, respectivamente</w:t>
      </w:r>
      <w:r w:rsidRPr="00101214">
        <w:rPr>
          <w:rFonts w:ascii="Arial Narrow" w:hAnsi="Arial Narrow" w:cs="Arial Narrow"/>
        </w:rPr>
        <w:t xml:space="preserve">. </w:t>
      </w:r>
    </w:p>
    <w:p w:rsidR="008321E4" w:rsidRPr="00101214" w:rsidRDefault="008321E4" w:rsidP="008321E4">
      <w:pPr>
        <w:widowControl w:val="0"/>
        <w:autoSpaceDE w:val="0"/>
        <w:spacing w:line="480" w:lineRule="auto"/>
        <w:jc w:val="both"/>
        <w:rPr>
          <w:rFonts w:ascii="Arial Narrow" w:hAnsi="Arial Narrow" w:cs="Arial Narrow"/>
        </w:rPr>
      </w:pPr>
    </w:p>
    <w:p w:rsidR="00817B05" w:rsidRDefault="00817B05"/>
    <w:sectPr w:rsidR="00817B05" w:rsidSect="00422A9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singleLevel"/>
    <w:tmpl w:val="00000035"/>
    <w:name w:val="WW8Num53"/>
    <w:lvl w:ilvl="0">
      <w:start w:val="1"/>
      <w:numFmt w:val="bullet"/>
      <w:lvlText w:val=""/>
      <w:lvlJc w:val="left"/>
      <w:pPr>
        <w:tabs>
          <w:tab w:val="num" w:pos="720"/>
        </w:tabs>
        <w:ind w:left="720" w:hanging="360"/>
      </w:pPr>
      <w:rPr>
        <w:rFonts w:ascii="Wingdings" w:hAnsi="Wingdings" w:cs="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CB2034"/>
    <w:rsid w:val="002B135A"/>
    <w:rsid w:val="00422A98"/>
    <w:rsid w:val="004E6EF3"/>
    <w:rsid w:val="007E353C"/>
    <w:rsid w:val="00817B05"/>
    <w:rsid w:val="008321E4"/>
    <w:rsid w:val="00CB2034"/>
    <w:rsid w:val="00E102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9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B2034"/>
    <w:pPr>
      <w:suppressAutoHyphens/>
      <w:spacing w:after="120" w:line="240" w:lineRule="auto"/>
    </w:pPr>
    <w:rPr>
      <w:rFonts w:ascii="Times New Roman" w:eastAsia="Times New Roman" w:hAnsi="Times New Roman" w:cs="Times New Roman"/>
      <w:sz w:val="24"/>
      <w:szCs w:val="24"/>
      <w:lang w:eastAsia="zh-CN"/>
    </w:rPr>
  </w:style>
  <w:style w:type="character" w:customStyle="1" w:styleId="TextoindependienteCar">
    <w:name w:val="Texto independiente Car"/>
    <w:basedOn w:val="Fuentedeprrafopredeter"/>
    <w:link w:val="Textoindependiente"/>
    <w:rsid w:val="00CB2034"/>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AEAAB-85AD-486B-9DFF-FC287561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464</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dc:creator>
  <cp:keywords/>
  <dc:description/>
  <cp:lastModifiedBy>gustavo</cp:lastModifiedBy>
  <cp:revision>6</cp:revision>
  <dcterms:created xsi:type="dcterms:W3CDTF">2016-01-13T14:22:00Z</dcterms:created>
  <dcterms:modified xsi:type="dcterms:W3CDTF">2016-01-13T15:09:00Z</dcterms:modified>
</cp:coreProperties>
</file>